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65235" w14:textId="77FAD456" w:rsidR="00740E98" w:rsidRDefault="00C33994">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  </w:t>
      </w:r>
    </w:p>
    <w:tbl>
      <w:tblPr>
        <w:tblStyle w:val="a0"/>
        <w:tblpPr w:leftFromText="180" w:rightFromText="180" w:horzAnchor="margin" w:tblpX="-856" w:tblpY="390"/>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8930"/>
      </w:tblGrid>
      <w:tr w:rsidR="00740E98" w:rsidRPr="008E1AA5" w14:paraId="78192F40" w14:textId="77777777" w:rsidTr="00D22965">
        <w:trPr>
          <w:trHeight w:val="417"/>
        </w:trPr>
        <w:tc>
          <w:tcPr>
            <w:tcW w:w="10910" w:type="dxa"/>
            <w:gridSpan w:val="2"/>
            <w:tcMar>
              <w:top w:w="0" w:type="dxa"/>
              <w:left w:w="108" w:type="dxa"/>
              <w:bottom w:w="0" w:type="dxa"/>
              <w:right w:w="108" w:type="dxa"/>
            </w:tcMar>
            <w:vAlign w:val="center"/>
          </w:tcPr>
          <w:p w14:paraId="37ACB7EF" w14:textId="77777777" w:rsidR="00740E98" w:rsidRPr="008E1AA5" w:rsidRDefault="00000000" w:rsidP="00D22965">
            <w:pPr>
              <w:pBdr>
                <w:top w:val="nil"/>
                <w:left w:val="nil"/>
                <w:bottom w:val="nil"/>
                <w:right w:val="nil"/>
                <w:between w:val="nil"/>
              </w:pBdr>
              <w:jc w:val="center"/>
              <w:rPr>
                <w:color w:val="000000"/>
              </w:rPr>
            </w:pPr>
            <w:r w:rsidRPr="008E1AA5">
              <w:rPr>
                <w:b/>
                <w:color w:val="000000"/>
              </w:rPr>
              <w:t xml:space="preserve">About National Cooperative </w:t>
            </w:r>
            <w:r w:rsidRPr="008E1AA5">
              <w:rPr>
                <w:b/>
              </w:rPr>
              <w:t>Organics</w:t>
            </w:r>
            <w:r w:rsidRPr="008E1AA5">
              <w:rPr>
                <w:b/>
                <w:color w:val="000000"/>
              </w:rPr>
              <w:t xml:space="preserve"> Limited (NC</w:t>
            </w:r>
            <w:r w:rsidRPr="008E1AA5">
              <w:rPr>
                <w:b/>
              </w:rPr>
              <w:t>O</w:t>
            </w:r>
            <w:r w:rsidRPr="008E1AA5">
              <w:rPr>
                <w:b/>
                <w:color w:val="000000"/>
              </w:rPr>
              <w:t>L)</w:t>
            </w:r>
          </w:p>
        </w:tc>
      </w:tr>
      <w:tr w:rsidR="00740E98" w:rsidRPr="008E1AA5" w14:paraId="6FD929DB" w14:textId="77777777" w:rsidTr="00D22965">
        <w:trPr>
          <w:trHeight w:val="3105"/>
        </w:trPr>
        <w:tc>
          <w:tcPr>
            <w:tcW w:w="10910" w:type="dxa"/>
            <w:gridSpan w:val="2"/>
            <w:tcMar>
              <w:top w:w="0" w:type="dxa"/>
              <w:left w:w="108" w:type="dxa"/>
              <w:bottom w:w="0" w:type="dxa"/>
              <w:right w:w="108" w:type="dxa"/>
            </w:tcMar>
            <w:vAlign w:val="center"/>
          </w:tcPr>
          <w:p w14:paraId="4E558BE4" w14:textId="088D4E2E" w:rsidR="007510BA" w:rsidRPr="008E1AA5" w:rsidRDefault="00000000" w:rsidP="00D22965">
            <w:pPr>
              <w:spacing w:line="276" w:lineRule="auto"/>
              <w:jc w:val="both"/>
              <w:rPr>
                <w:color w:val="1155CC"/>
                <w:u w:val="single"/>
              </w:rPr>
            </w:pPr>
            <w:r w:rsidRPr="008E1AA5">
              <w:t xml:space="preserve">Realising the potential for scaling up the organic food sector, National Cooperative Organics Limited i.e. NCOL has been set up as a multistate cooperative Society jointly promoted by National Dairy Development Board (NDDB), GCMMF (Amul), NAFED, NCDC and NCCF as promoter members. The vision of the Society is to act as an umbrella organisation to encompass all activities related to </w:t>
            </w:r>
            <w:r w:rsidR="00616E62" w:rsidRPr="008E1AA5">
              <w:t xml:space="preserve">value chain, </w:t>
            </w:r>
            <w:r w:rsidRPr="008E1AA5">
              <w:t xml:space="preserve">leading to the realisation of ‘Sahakar se Samriddhi’. To know more about NCOL, please </w:t>
            </w:r>
            <w:proofErr w:type="gramStart"/>
            <w:r w:rsidRPr="008E1AA5">
              <w:t>visit :</w:t>
            </w:r>
            <w:proofErr w:type="gramEnd"/>
            <w:r w:rsidRPr="008E1AA5">
              <w:t xml:space="preserve"> </w:t>
            </w:r>
            <w:hyperlink r:id="rId6">
              <w:r w:rsidR="007510BA" w:rsidRPr="008E1AA5">
                <w:rPr>
                  <w:color w:val="1155CC"/>
                  <w:u w:val="single"/>
                </w:rPr>
                <w:t>https://ncol.coop/</w:t>
              </w:r>
            </w:hyperlink>
          </w:p>
          <w:p w14:paraId="162D64AD" w14:textId="77777777" w:rsidR="007679FA" w:rsidRPr="008E1AA5" w:rsidRDefault="007679FA" w:rsidP="00D22965">
            <w:pPr>
              <w:spacing w:line="276" w:lineRule="auto"/>
              <w:jc w:val="both"/>
              <w:rPr>
                <w:color w:val="1155CC"/>
                <w:u w:val="single"/>
              </w:rPr>
            </w:pPr>
          </w:p>
          <w:p w14:paraId="65E0D94B" w14:textId="77777777" w:rsidR="00D22965" w:rsidRPr="00D22965" w:rsidRDefault="00D22965" w:rsidP="00D22965">
            <w:pPr>
              <w:spacing w:line="276" w:lineRule="auto"/>
              <w:jc w:val="both"/>
              <w:rPr>
                <w:lang w:val="en-IN"/>
              </w:rPr>
            </w:pPr>
            <w:r w:rsidRPr="00D22965">
              <w:rPr>
                <w:lang w:val="en-IN"/>
              </w:rPr>
              <w:t xml:space="preserve">NCOL has successfully launched a range of staple products under the </w:t>
            </w:r>
            <w:r w:rsidRPr="00D22965">
              <w:rPr>
                <w:b/>
                <w:bCs/>
                <w:lang w:val="en-IN"/>
              </w:rPr>
              <w:t>‘Bharat Organics’</w:t>
            </w:r>
            <w:r w:rsidRPr="00D22965">
              <w:rPr>
                <w:lang w:val="en-IN"/>
              </w:rPr>
              <w:t xml:space="preserve"> brand (</w:t>
            </w:r>
            <w:hyperlink r:id="rId7" w:tgtFrame="_new" w:history="1">
              <w:r w:rsidRPr="00D22965">
                <w:rPr>
                  <w:rStyle w:val="Hyperlink"/>
                  <w:lang w:val="en-IN"/>
                </w:rPr>
                <w:t>bharatorganics.coop</w:t>
              </w:r>
            </w:hyperlink>
            <w:r w:rsidRPr="00D22965">
              <w:rPr>
                <w:lang w:val="en-IN"/>
              </w:rPr>
              <w:t xml:space="preserve">) in Delhi NCR and Bangalore across MT, E-Commerce, Q-Commerce, and GT channels. To further strengthen its market presence, NCOL plans to expand </w:t>
            </w:r>
            <w:r w:rsidRPr="00D22965">
              <w:rPr>
                <w:b/>
                <w:bCs/>
                <w:lang w:val="en-IN"/>
              </w:rPr>
              <w:t>‘Bharat Organics’</w:t>
            </w:r>
            <w:r w:rsidRPr="00D22965">
              <w:rPr>
                <w:lang w:val="en-IN"/>
              </w:rPr>
              <w:t xml:space="preserve"> into Tier I, II, and III cities across all channels.</w:t>
            </w:r>
          </w:p>
          <w:p w14:paraId="723ED75E" w14:textId="63C816B7" w:rsidR="000579A5" w:rsidRPr="00D22965" w:rsidRDefault="00D22965" w:rsidP="00D22965">
            <w:pPr>
              <w:spacing w:line="276" w:lineRule="auto"/>
              <w:jc w:val="both"/>
              <w:rPr>
                <w:lang w:val="en-IN"/>
              </w:rPr>
            </w:pPr>
            <w:r w:rsidRPr="00D22965">
              <w:t>To drive this growth, we are looking for a dynamic and</w:t>
            </w:r>
            <w:r>
              <w:t xml:space="preserve"> young</w:t>
            </w:r>
            <w:r w:rsidRPr="00D22965">
              <w:t xml:space="preserve"> passionate leader.</w:t>
            </w:r>
          </w:p>
        </w:tc>
      </w:tr>
      <w:tr w:rsidR="00740E98" w:rsidRPr="008E1AA5" w14:paraId="0173416C" w14:textId="77777777" w:rsidTr="00D22965">
        <w:trPr>
          <w:trHeight w:val="308"/>
        </w:trPr>
        <w:tc>
          <w:tcPr>
            <w:tcW w:w="10910" w:type="dxa"/>
            <w:gridSpan w:val="2"/>
            <w:tcMar>
              <w:top w:w="0" w:type="dxa"/>
              <w:left w:w="108" w:type="dxa"/>
              <w:bottom w:w="0" w:type="dxa"/>
              <w:right w:w="108" w:type="dxa"/>
            </w:tcMar>
            <w:vAlign w:val="center"/>
          </w:tcPr>
          <w:p w14:paraId="7927A85F" w14:textId="77777777" w:rsidR="00740E98" w:rsidRPr="008E1AA5" w:rsidRDefault="00000000" w:rsidP="00D22965">
            <w:pPr>
              <w:pBdr>
                <w:top w:val="nil"/>
                <w:left w:val="nil"/>
                <w:bottom w:val="nil"/>
                <w:right w:val="nil"/>
                <w:between w:val="nil"/>
              </w:pBdr>
              <w:jc w:val="center"/>
              <w:rPr>
                <w:color w:val="000000"/>
              </w:rPr>
            </w:pPr>
            <w:r w:rsidRPr="008E1AA5">
              <w:rPr>
                <w:b/>
                <w:color w:val="000000"/>
              </w:rPr>
              <w:t>JOB DESCRIPTION</w:t>
            </w:r>
          </w:p>
        </w:tc>
      </w:tr>
      <w:tr w:rsidR="00740E98" w:rsidRPr="008E1AA5" w14:paraId="7F1A379B" w14:textId="77777777" w:rsidTr="007F1F58">
        <w:trPr>
          <w:trHeight w:val="411"/>
        </w:trPr>
        <w:tc>
          <w:tcPr>
            <w:tcW w:w="1980" w:type="dxa"/>
            <w:tcMar>
              <w:top w:w="0" w:type="dxa"/>
              <w:left w:w="108" w:type="dxa"/>
              <w:bottom w:w="0" w:type="dxa"/>
              <w:right w:w="108" w:type="dxa"/>
            </w:tcMar>
            <w:vAlign w:val="center"/>
          </w:tcPr>
          <w:p w14:paraId="3DA177EB" w14:textId="77777777" w:rsidR="00740E98" w:rsidRPr="008E1AA5" w:rsidRDefault="00000000" w:rsidP="00D22965">
            <w:pPr>
              <w:pBdr>
                <w:top w:val="nil"/>
                <w:left w:val="nil"/>
                <w:bottom w:val="nil"/>
                <w:right w:val="nil"/>
                <w:between w:val="nil"/>
              </w:pBdr>
              <w:rPr>
                <w:b/>
                <w:color w:val="000000"/>
              </w:rPr>
            </w:pPr>
            <w:r w:rsidRPr="008E1AA5">
              <w:rPr>
                <w:b/>
                <w:color w:val="000000"/>
              </w:rPr>
              <w:t>Position</w:t>
            </w:r>
          </w:p>
        </w:tc>
        <w:tc>
          <w:tcPr>
            <w:tcW w:w="8930" w:type="dxa"/>
            <w:tcMar>
              <w:top w:w="0" w:type="dxa"/>
              <w:left w:w="108" w:type="dxa"/>
              <w:bottom w:w="0" w:type="dxa"/>
              <w:right w:w="108" w:type="dxa"/>
            </w:tcMar>
            <w:vAlign w:val="center"/>
          </w:tcPr>
          <w:p w14:paraId="7682483D" w14:textId="62270A22" w:rsidR="00740E98" w:rsidRPr="008E1AA5" w:rsidRDefault="00DD145A" w:rsidP="00D22965">
            <w:pPr>
              <w:pBdr>
                <w:top w:val="nil"/>
                <w:left w:val="nil"/>
                <w:bottom w:val="nil"/>
                <w:right w:val="nil"/>
                <w:between w:val="nil"/>
              </w:pBdr>
              <w:rPr>
                <w:color w:val="000000"/>
              </w:rPr>
            </w:pPr>
            <w:r>
              <w:t>Zonal Cluster Head</w:t>
            </w:r>
          </w:p>
        </w:tc>
      </w:tr>
      <w:tr w:rsidR="00740E98" w:rsidRPr="008E1AA5" w14:paraId="74FD4CE6" w14:textId="77777777" w:rsidTr="007F1F58">
        <w:trPr>
          <w:trHeight w:val="417"/>
        </w:trPr>
        <w:tc>
          <w:tcPr>
            <w:tcW w:w="1980" w:type="dxa"/>
            <w:tcMar>
              <w:top w:w="0" w:type="dxa"/>
              <w:left w:w="108" w:type="dxa"/>
              <w:bottom w:w="0" w:type="dxa"/>
              <w:right w:w="108" w:type="dxa"/>
            </w:tcMar>
            <w:vAlign w:val="center"/>
          </w:tcPr>
          <w:p w14:paraId="2BD4216F" w14:textId="77777777" w:rsidR="00740E98" w:rsidRPr="008E1AA5" w:rsidRDefault="00000000" w:rsidP="00D22965">
            <w:pPr>
              <w:pBdr>
                <w:top w:val="nil"/>
                <w:left w:val="nil"/>
                <w:bottom w:val="nil"/>
                <w:right w:val="nil"/>
                <w:between w:val="nil"/>
              </w:pBdr>
              <w:rPr>
                <w:b/>
                <w:color w:val="000000"/>
              </w:rPr>
            </w:pPr>
            <w:r w:rsidRPr="008E1AA5">
              <w:rPr>
                <w:b/>
                <w:color w:val="000000"/>
              </w:rPr>
              <w:t>Location</w:t>
            </w:r>
          </w:p>
        </w:tc>
        <w:tc>
          <w:tcPr>
            <w:tcW w:w="8930" w:type="dxa"/>
            <w:tcMar>
              <w:top w:w="0" w:type="dxa"/>
              <w:left w:w="108" w:type="dxa"/>
              <w:bottom w:w="0" w:type="dxa"/>
              <w:right w:w="108" w:type="dxa"/>
            </w:tcMar>
            <w:vAlign w:val="center"/>
          </w:tcPr>
          <w:p w14:paraId="04135700" w14:textId="04B9B743" w:rsidR="00740E98" w:rsidRPr="008E1AA5" w:rsidRDefault="00DD145A" w:rsidP="00D22965">
            <w:pPr>
              <w:pBdr>
                <w:top w:val="nil"/>
                <w:left w:val="nil"/>
                <w:bottom w:val="nil"/>
                <w:right w:val="nil"/>
                <w:between w:val="nil"/>
              </w:pBdr>
              <w:rPr>
                <w:color w:val="000000"/>
              </w:rPr>
            </w:pPr>
            <w:r>
              <w:rPr>
                <w:color w:val="000000"/>
              </w:rPr>
              <w:t>Madhya Pradesh &amp; Maharashtra</w:t>
            </w:r>
          </w:p>
        </w:tc>
      </w:tr>
      <w:tr w:rsidR="00740E98" w:rsidRPr="008E1AA5" w14:paraId="25BD5F99" w14:textId="77777777" w:rsidTr="007F1F58">
        <w:trPr>
          <w:trHeight w:val="531"/>
        </w:trPr>
        <w:tc>
          <w:tcPr>
            <w:tcW w:w="1980" w:type="dxa"/>
            <w:tcMar>
              <w:top w:w="0" w:type="dxa"/>
              <w:left w:w="108" w:type="dxa"/>
              <w:bottom w:w="0" w:type="dxa"/>
              <w:right w:w="108" w:type="dxa"/>
            </w:tcMar>
            <w:vAlign w:val="center"/>
          </w:tcPr>
          <w:p w14:paraId="347C12B6" w14:textId="77777777" w:rsidR="00740E98" w:rsidRPr="008E1AA5" w:rsidRDefault="00000000" w:rsidP="00D22965">
            <w:pPr>
              <w:pBdr>
                <w:top w:val="nil"/>
                <w:left w:val="nil"/>
                <w:bottom w:val="nil"/>
                <w:right w:val="nil"/>
                <w:between w:val="nil"/>
              </w:pBdr>
              <w:rPr>
                <w:b/>
                <w:color w:val="000000"/>
              </w:rPr>
            </w:pPr>
            <w:r w:rsidRPr="008E1AA5">
              <w:rPr>
                <w:b/>
                <w:color w:val="000000"/>
              </w:rPr>
              <w:t>No. of Positions</w:t>
            </w:r>
          </w:p>
        </w:tc>
        <w:tc>
          <w:tcPr>
            <w:tcW w:w="8930" w:type="dxa"/>
            <w:tcMar>
              <w:top w:w="0" w:type="dxa"/>
              <w:left w:w="108" w:type="dxa"/>
              <w:bottom w:w="0" w:type="dxa"/>
              <w:right w:w="108" w:type="dxa"/>
            </w:tcMar>
            <w:vAlign w:val="center"/>
          </w:tcPr>
          <w:p w14:paraId="16E68D09" w14:textId="1836EF1D" w:rsidR="00740E98" w:rsidRPr="008E1AA5" w:rsidRDefault="00893978" w:rsidP="00D22965">
            <w:pPr>
              <w:pBdr>
                <w:top w:val="nil"/>
                <w:left w:val="nil"/>
                <w:bottom w:val="nil"/>
                <w:right w:val="nil"/>
                <w:between w:val="nil"/>
              </w:pBdr>
              <w:rPr>
                <w:color w:val="000000"/>
              </w:rPr>
            </w:pPr>
            <w:r w:rsidRPr="00893978">
              <w:rPr>
                <w:color w:val="000000"/>
              </w:rPr>
              <w:t>2 (1 for Madhya Pradesh</w:t>
            </w:r>
            <w:r>
              <w:rPr>
                <w:color w:val="000000"/>
              </w:rPr>
              <w:t xml:space="preserve"> &amp; </w:t>
            </w:r>
            <w:r w:rsidRPr="00893978">
              <w:rPr>
                <w:color w:val="000000"/>
              </w:rPr>
              <w:t>1 for Maharashtra)</w:t>
            </w:r>
          </w:p>
        </w:tc>
      </w:tr>
      <w:tr w:rsidR="00740E98" w:rsidRPr="008E1AA5" w14:paraId="1F141737" w14:textId="77777777" w:rsidTr="007F1F58">
        <w:trPr>
          <w:trHeight w:val="4063"/>
        </w:trPr>
        <w:tc>
          <w:tcPr>
            <w:tcW w:w="1980" w:type="dxa"/>
            <w:tcMar>
              <w:top w:w="0" w:type="dxa"/>
              <w:left w:w="108" w:type="dxa"/>
              <w:bottom w:w="0" w:type="dxa"/>
              <w:right w:w="108" w:type="dxa"/>
            </w:tcMar>
            <w:vAlign w:val="center"/>
          </w:tcPr>
          <w:p w14:paraId="6D093570" w14:textId="77777777" w:rsidR="00740E98" w:rsidRPr="008E1AA5" w:rsidRDefault="00000000" w:rsidP="00D22965">
            <w:pPr>
              <w:pBdr>
                <w:top w:val="nil"/>
                <w:left w:val="nil"/>
                <w:bottom w:val="nil"/>
                <w:right w:val="nil"/>
                <w:between w:val="nil"/>
              </w:pBdr>
              <w:rPr>
                <w:color w:val="000000"/>
              </w:rPr>
            </w:pPr>
            <w:r w:rsidRPr="008E1AA5">
              <w:rPr>
                <w:b/>
                <w:color w:val="000000"/>
              </w:rPr>
              <w:t xml:space="preserve">Major Accountabilities </w:t>
            </w:r>
          </w:p>
        </w:tc>
        <w:tc>
          <w:tcPr>
            <w:tcW w:w="8930" w:type="dxa"/>
            <w:tcMar>
              <w:top w:w="0" w:type="dxa"/>
              <w:left w:w="108" w:type="dxa"/>
              <w:bottom w:w="0" w:type="dxa"/>
              <w:right w:w="108" w:type="dxa"/>
            </w:tcMar>
            <w:vAlign w:val="center"/>
          </w:tcPr>
          <w:p w14:paraId="355E894C" w14:textId="0DB981DE" w:rsidR="00DD145A" w:rsidRPr="00DD145A" w:rsidRDefault="00DD145A" w:rsidP="00D22965">
            <w:pPr>
              <w:pStyle w:val="ListParagraph"/>
              <w:numPr>
                <w:ilvl w:val="0"/>
                <w:numId w:val="1"/>
              </w:numPr>
              <w:spacing w:line="276" w:lineRule="auto"/>
              <w:rPr>
                <w:lang w:val="en-IN"/>
              </w:rPr>
            </w:pPr>
            <w:r w:rsidRPr="00DD145A">
              <w:rPr>
                <w:b/>
                <w:bCs/>
                <w:lang w:val="en-US"/>
              </w:rPr>
              <w:t xml:space="preserve">Procurement of Commodities </w:t>
            </w:r>
            <w:r w:rsidRPr="00DD145A">
              <w:rPr>
                <w:lang w:val="en-US"/>
              </w:rPr>
              <w:t xml:space="preserve">- Planning and leading sourcing and commercial activities for assigned commodities, negotiating prices and contracts with </w:t>
            </w:r>
            <w:r w:rsidR="00917145">
              <w:rPr>
                <w:lang w:val="en-US"/>
              </w:rPr>
              <w:t>organic grower groups</w:t>
            </w:r>
            <w:r w:rsidRPr="00DD145A">
              <w:rPr>
                <w:lang w:val="en-US"/>
              </w:rPr>
              <w:t>.</w:t>
            </w:r>
          </w:p>
          <w:p w14:paraId="06C5FEC8" w14:textId="79D38C79" w:rsidR="00DD145A" w:rsidRPr="00DD145A" w:rsidRDefault="00591320" w:rsidP="00D22965">
            <w:pPr>
              <w:pStyle w:val="ListParagraph"/>
              <w:numPr>
                <w:ilvl w:val="0"/>
                <w:numId w:val="1"/>
              </w:numPr>
              <w:spacing w:line="276" w:lineRule="auto"/>
              <w:rPr>
                <w:lang w:val="en-IN"/>
              </w:rPr>
            </w:pPr>
            <w:r>
              <w:rPr>
                <w:b/>
                <w:bCs/>
                <w:lang w:val="en-US"/>
              </w:rPr>
              <w:t xml:space="preserve">Identification and engagement with Farmer collectives </w:t>
            </w:r>
            <w:proofErr w:type="gramStart"/>
            <w:r>
              <w:rPr>
                <w:b/>
                <w:bCs/>
                <w:lang w:val="en-US"/>
              </w:rPr>
              <w:t xml:space="preserve">- </w:t>
            </w:r>
            <w:r w:rsidR="00DD145A" w:rsidRPr="00DD145A">
              <w:rPr>
                <w:lang w:val="en-US"/>
              </w:rPr>
              <w:t> </w:t>
            </w:r>
            <w:r w:rsidR="00E34C01">
              <w:rPr>
                <w:lang w:val="en-US"/>
              </w:rPr>
              <w:t>I</w:t>
            </w:r>
            <w:r w:rsidR="00D22965" w:rsidRPr="00DD145A">
              <w:rPr>
                <w:lang w:val="en-US"/>
              </w:rPr>
              <w:t>dentifying</w:t>
            </w:r>
            <w:proofErr w:type="gramEnd"/>
            <w:r w:rsidR="00DD145A" w:rsidRPr="00DD145A">
              <w:rPr>
                <w:lang w:val="en-US"/>
              </w:rPr>
              <w:t xml:space="preserve"> </w:t>
            </w:r>
            <w:r>
              <w:rPr>
                <w:lang w:val="en-US"/>
              </w:rPr>
              <w:t>suitable farmer collectives for procurement of certified organic products. Engaging with the grower groups before, during and after the harvest season. Passionately keeping oversight on farmer</w:t>
            </w:r>
            <w:r w:rsidR="00E34C01">
              <w:rPr>
                <w:lang w:val="en-US"/>
              </w:rPr>
              <w:t>’s income and promoting DBT wherever possible</w:t>
            </w:r>
            <w:r>
              <w:rPr>
                <w:lang w:val="en-US"/>
              </w:rPr>
              <w:t>.</w:t>
            </w:r>
          </w:p>
          <w:p w14:paraId="74CBEDC9" w14:textId="4796BF6C" w:rsidR="00DD145A" w:rsidRPr="00591320" w:rsidRDefault="00591320" w:rsidP="00D22965">
            <w:pPr>
              <w:pStyle w:val="ListParagraph"/>
              <w:numPr>
                <w:ilvl w:val="0"/>
                <w:numId w:val="1"/>
              </w:numPr>
              <w:spacing w:line="276" w:lineRule="auto"/>
              <w:rPr>
                <w:lang w:val="en-IN"/>
              </w:rPr>
            </w:pPr>
            <w:r>
              <w:rPr>
                <w:b/>
                <w:bCs/>
                <w:lang w:val="en-US"/>
              </w:rPr>
              <w:t xml:space="preserve">Finalizing </w:t>
            </w:r>
            <w:proofErr w:type="gramStart"/>
            <w:r>
              <w:rPr>
                <w:b/>
                <w:bCs/>
                <w:lang w:val="en-US"/>
              </w:rPr>
              <w:t>infrastructure</w:t>
            </w:r>
            <w:r w:rsidR="00DD145A" w:rsidRPr="00DD145A">
              <w:rPr>
                <w:lang w:val="en-US"/>
              </w:rPr>
              <w:t> </w:t>
            </w:r>
            <w:r>
              <w:rPr>
                <w:lang w:val="en-US"/>
              </w:rPr>
              <w:t xml:space="preserve"> -</w:t>
            </w:r>
            <w:proofErr w:type="gramEnd"/>
            <w:r>
              <w:rPr>
                <w:lang w:val="en-US"/>
              </w:rPr>
              <w:t xml:space="preserve"> Ensuring suitable partners / infrastructure for procurement, storage, processing and handling of the commodities at scale. Evaluating the available infrastructure, negotiating, adopting best practices and driving operational excellence.</w:t>
            </w:r>
          </w:p>
          <w:p w14:paraId="44D26C44" w14:textId="78EB3674" w:rsidR="00591320" w:rsidRPr="00DD145A" w:rsidRDefault="00591320" w:rsidP="00D22965">
            <w:pPr>
              <w:pStyle w:val="ListParagraph"/>
              <w:numPr>
                <w:ilvl w:val="0"/>
                <w:numId w:val="1"/>
              </w:numPr>
              <w:spacing w:line="276" w:lineRule="auto"/>
              <w:rPr>
                <w:lang w:val="en-IN"/>
              </w:rPr>
            </w:pPr>
            <w:r>
              <w:rPr>
                <w:b/>
                <w:bCs/>
                <w:lang w:val="en-US"/>
              </w:rPr>
              <w:t xml:space="preserve">Operations </w:t>
            </w:r>
            <w:r>
              <w:rPr>
                <w:lang w:val="en-IN"/>
              </w:rPr>
              <w:t xml:space="preserve">– Lead a </w:t>
            </w:r>
            <w:proofErr w:type="spellStart"/>
            <w:r>
              <w:rPr>
                <w:lang w:val="en-IN"/>
              </w:rPr>
              <w:t>multi functional</w:t>
            </w:r>
            <w:proofErr w:type="spellEnd"/>
            <w:r>
              <w:rPr>
                <w:lang w:val="en-IN"/>
              </w:rPr>
              <w:t xml:space="preserve"> team for ensuring smooth procurement of targeted quantities during the season, as per the SOP and quality norms. Also upgrade all the processes as per the industry best practices.</w:t>
            </w:r>
          </w:p>
          <w:p w14:paraId="4B79EA08" w14:textId="731CE6B1" w:rsidR="00727F83" w:rsidRPr="00DD145A" w:rsidRDefault="00DD145A" w:rsidP="00D22965">
            <w:pPr>
              <w:pStyle w:val="ListParagraph"/>
              <w:numPr>
                <w:ilvl w:val="0"/>
                <w:numId w:val="1"/>
              </w:numPr>
              <w:spacing w:line="276" w:lineRule="auto"/>
              <w:rPr>
                <w:lang w:val="en-IN"/>
              </w:rPr>
            </w:pPr>
            <w:r w:rsidRPr="00DD145A">
              <w:rPr>
                <w:b/>
                <w:bCs/>
                <w:lang w:val="en-US"/>
              </w:rPr>
              <w:t xml:space="preserve">Stakeholder </w:t>
            </w:r>
            <w:r w:rsidR="00D22965" w:rsidRPr="00DD145A">
              <w:rPr>
                <w:b/>
                <w:bCs/>
                <w:lang w:val="en-US"/>
              </w:rPr>
              <w:t>Engagement:</w:t>
            </w:r>
            <w:r w:rsidRPr="00DD145A">
              <w:rPr>
                <w:lang w:val="en-US"/>
              </w:rPr>
              <w:t> Liaising with internal and external stakeholders, including procurement, supply chain and business unit heads.</w:t>
            </w:r>
          </w:p>
        </w:tc>
      </w:tr>
      <w:tr w:rsidR="00740E98" w:rsidRPr="008E1AA5" w14:paraId="206DE43F" w14:textId="77777777" w:rsidTr="007F1F58">
        <w:trPr>
          <w:trHeight w:val="705"/>
        </w:trPr>
        <w:tc>
          <w:tcPr>
            <w:tcW w:w="1980" w:type="dxa"/>
            <w:tcMar>
              <w:top w:w="0" w:type="dxa"/>
              <w:left w:w="108" w:type="dxa"/>
              <w:bottom w:w="0" w:type="dxa"/>
              <w:right w:w="108" w:type="dxa"/>
            </w:tcMar>
            <w:vAlign w:val="center"/>
          </w:tcPr>
          <w:p w14:paraId="60CB5871" w14:textId="77777777" w:rsidR="00740E98" w:rsidRPr="008E1AA5" w:rsidRDefault="00000000" w:rsidP="00D22965">
            <w:pPr>
              <w:pBdr>
                <w:top w:val="nil"/>
                <w:left w:val="nil"/>
                <w:bottom w:val="nil"/>
                <w:right w:val="nil"/>
                <w:between w:val="nil"/>
              </w:pBdr>
              <w:rPr>
                <w:color w:val="000000"/>
              </w:rPr>
            </w:pPr>
            <w:r w:rsidRPr="008E1AA5">
              <w:rPr>
                <w:b/>
                <w:color w:val="000000"/>
              </w:rPr>
              <w:t>Education</w:t>
            </w:r>
          </w:p>
        </w:tc>
        <w:tc>
          <w:tcPr>
            <w:tcW w:w="8930" w:type="dxa"/>
            <w:tcMar>
              <w:top w:w="0" w:type="dxa"/>
              <w:left w:w="108" w:type="dxa"/>
              <w:bottom w:w="0" w:type="dxa"/>
              <w:right w:w="108" w:type="dxa"/>
            </w:tcMar>
            <w:vAlign w:val="center"/>
          </w:tcPr>
          <w:p w14:paraId="57BA4820" w14:textId="5DB4E254" w:rsidR="00153795" w:rsidRPr="008E1AA5" w:rsidRDefault="00D22965" w:rsidP="00D22965">
            <w:pPr>
              <w:pBdr>
                <w:top w:val="nil"/>
                <w:left w:val="nil"/>
                <w:bottom w:val="nil"/>
                <w:right w:val="nil"/>
                <w:between w:val="nil"/>
              </w:pBdr>
              <w:jc w:val="both"/>
              <w:rPr>
                <w:color w:val="000000"/>
              </w:rPr>
            </w:pPr>
            <w:r w:rsidRPr="00D22965">
              <w:rPr>
                <w:color w:val="000000"/>
              </w:rPr>
              <w:t>MBA or Post-graduation in Agriculture, Agri-Business, Agri-Marketing, Rural Development, or a related discipline.</w:t>
            </w:r>
          </w:p>
        </w:tc>
      </w:tr>
      <w:tr w:rsidR="00740E98" w:rsidRPr="008E1AA5" w14:paraId="188B7491" w14:textId="77777777" w:rsidTr="007F1F58">
        <w:trPr>
          <w:trHeight w:val="810"/>
        </w:trPr>
        <w:tc>
          <w:tcPr>
            <w:tcW w:w="1980" w:type="dxa"/>
            <w:tcMar>
              <w:top w:w="0" w:type="dxa"/>
              <w:left w:w="108" w:type="dxa"/>
              <w:bottom w:w="0" w:type="dxa"/>
              <w:right w:w="108" w:type="dxa"/>
            </w:tcMar>
            <w:vAlign w:val="center"/>
          </w:tcPr>
          <w:p w14:paraId="32D9F897" w14:textId="77777777" w:rsidR="00740E98" w:rsidRPr="008E1AA5" w:rsidRDefault="00000000" w:rsidP="00D22965">
            <w:pPr>
              <w:pBdr>
                <w:top w:val="nil"/>
                <w:left w:val="nil"/>
                <w:bottom w:val="nil"/>
                <w:right w:val="nil"/>
                <w:between w:val="nil"/>
              </w:pBdr>
              <w:rPr>
                <w:b/>
                <w:color w:val="000000"/>
              </w:rPr>
            </w:pPr>
            <w:r w:rsidRPr="008E1AA5">
              <w:rPr>
                <w:b/>
                <w:color w:val="000000"/>
              </w:rPr>
              <w:t>Experience</w:t>
            </w:r>
          </w:p>
        </w:tc>
        <w:tc>
          <w:tcPr>
            <w:tcW w:w="8930" w:type="dxa"/>
            <w:tcMar>
              <w:top w:w="0" w:type="dxa"/>
              <w:left w:w="108" w:type="dxa"/>
              <w:bottom w:w="0" w:type="dxa"/>
              <w:right w:w="108" w:type="dxa"/>
            </w:tcMar>
            <w:vAlign w:val="center"/>
          </w:tcPr>
          <w:p w14:paraId="6F227911" w14:textId="3A6153F9" w:rsidR="00A0156C" w:rsidRPr="008E1AA5" w:rsidRDefault="00560632" w:rsidP="00D22965">
            <w:pPr>
              <w:spacing w:line="276" w:lineRule="auto"/>
              <w:jc w:val="both"/>
            </w:pPr>
            <w:r w:rsidRPr="008E1AA5">
              <w:t xml:space="preserve">Minimum </w:t>
            </w:r>
            <w:r w:rsidR="007F1F58">
              <w:t>5</w:t>
            </w:r>
            <w:r w:rsidR="004A6D43">
              <w:t xml:space="preserve"> </w:t>
            </w:r>
            <w:r w:rsidR="00153795" w:rsidRPr="008E1AA5">
              <w:t xml:space="preserve">years </w:t>
            </w:r>
            <w:r w:rsidR="00D22965" w:rsidRPr="008E1AA5">
              <w:t xml:space="preserve">of </w:t>
            </w:r>
            <w:r w:rsidR="00D22965">
              <w:t>proven</w:t>
            </w:r>
            <w:r w:rsidR="00D22965" w:rsidRPr="00D22965">
              <w:t xml:space="preserve"> experience in commodity procurement and supply chain management, with strong leadership, team management, and communication skills. Well-versed in logistics, inventory management, and order fulfilment, with a solid understanding of safety regulations and best practices. Experience in the organic sector will be an added advantage.</w:t>
            </w:r>
          </w:p>
        </w:tc>
      </w:tr>
      <w:tr w:rsidR="00740E98" w:rsidRPr="008E1AA5" w14:paraId="527719CA" w14:textId="77777777" w:rsidTr="007F1F58">
        <w:trPr>
          <w:trHeight w:val="885"/>
        </w:trPr>
        <w:tc>
          <w:tcPr>
            <w:tcW w:w="1980" w:type="dxa"/>
            <w:tcMar>
              <w:top w:w="0" w:type="dxa"/>
              <w:left w:w="108" w:type="dxa"/>
              <w:bottom w:w="0" w:type="dxa"/>
              <w:right w:w="108" w:type="dxa"/>
            </w:tcMar>
            <w:vAlign w:val="center"/>
          </w:tcPr>
          <w:p w14:paraId="3903AE07" w14:textId="77777777" w:rsidR="00740E98" w:rsidRPr="008E1AA5" w:rsidRDefault="00000000" w:rsidP="00D22965">
            <w:pPr>
              <w:pBdr>
                <w:top w:val="nil"/>
                <w:left w:val="nil"/>
                <w:bottom w:val="nil"/>
                <w:right w:val="nil"/>
                <w:between w:val="nil"/>
              </w:pBdr>
              <w:rPr>
                <w:color w:val="000000"/>
              </w:rPr>
            </w:pPr>
            <w:r w:rsidRPr="008E1AA5">
              <w:rPr>
                <w:b/>
                <w:color w:val="000000"/>
              </w:rPr>
              <w:t>Approx CTC (per Annum)</w:t>
            </w:r>
          </w:p>
        </w:tc>
        <w:tc>
          <w:tcPr>
            <w:tcW w:w="8930" w:type="dxa"/>
            <w:tcMar>
              <w:top w:w="0" w:type="dxa"/>
              <w:left w:w="108" w:type="dxa"/>
              <w:bottom w:w="0" w:type="dxa"/>
              <w:right w:w="108" w:type="dxa"/>
            </w:tcMar>
            <w:vAlign w:val="center"/>
          </w:tcPr>
          <w:p w14:paraId="48F3F7D2" w14:textId="77777777" w:rsidR="00740E98" w:rsidRPr="008E1AA5" w:rsidRDefault="00000000" w:rsidP="00D22965">
            <w:pPr>
              <w:pBdr>
                <w:top w:val="nil"/>
                <w:left w:val="nil"/>
                <w:bottom w:val="nil"/>
                <w:right w:val="nil"/>
                <w:between w:val="nil"/>
              </w:pBdr>
              <w:jc w:val="both"/>
              <w:rPr>
                <w:color w:val="000000"/>
              </w:rPr>
            </w:pPr>
            <w:bookmarkStart w:id="0" w:name="_heading=h.gjdgxs" w:colFirst="0" w:colLast="0"/>
            <w:bookmarkEnd w:id="0"/>
            <w:r w:rsidRPr="008E1AA5">
              <w:rPr>
                <w:color w:val="000000"/>
              </w:rPr>
              <w:t>Remuneration would be commensurate with qualification and experience</w:t>
            </w:r>
          </w:p>
        </w:tc>
      </w:tr>
      <w:tr w:rsidR="00740E98" w:rsidRPr="008E1AA5" w14:paraId="3C2783BF" w14:textId="77777777" w:rsidTr="007842A6">
        <w:trPr>
          <w:trHeight w:val="799"/>
        </w:trPr>
        <w:tc>
          <w:tcPr>
            <w:tcW w:w="1980" w:type="dxa"/>
            <w:tcMar>
              <w:top w:w="0" w:type="dxa"/>
              <w:left w:w="108" w:type="dxa"/>
              <w:bottom w:w="0" w:type="dxa"/>
              <w:right w:w="108" w:type="dxa"/>
            </w:tcMar>
            <w:vAlign w:val="center"/>
          </w:tcPr>
          <w:p w14:paraId="3E2546CE" w14:textId="77777777" w:rsidR="00740E98" w:rsidRPr="008E1AA5" w:rsidRDefault="00000000" w:rsidP="00D22965">
            <w:pPr>
              <w:pBdr>
                <w:top w:val="nil"/>
                <w:left w:val="nil"/>
                <w:bottom w:val="nil"/>
                <w:right w:val="nil"/>
                <w:between w:val="nil"/>
              </w:pBdr>
              <w:spacing w:line="276" w:lineRule="auto"/>
              <w:rPr>
                <w:b/>
                <w:color w:val="000000"/>
              </w:rPr>
            </w:pPr>
            <w:r w:rsidRPr="008E1AA5">
              <w:rPr>
                <w:b/>
                <w:color w:val="000000"/>
              </w:rPr>
              <w:t>How to apply</w:t>
            </w:r>
          </w:p>
        </w:tc>
        <w:tc>
          <w:tcPr>
            <w:tcW w:w="8930" w:type="dxa"/>
            <w:tcMar>
              <w:top w:w="0" w:type="dxa"/>
              <w:left w:w="108" w:type="dxa"/>
              <w:bottom w:w="0" w:type="dxa"/>
              <w:right w:w="108" w:type="dxa"/>
            </w:tcMar>
            <w:vAlign w:val="center"/>
          </w:tcPr>
          <w:p w14:paraId="6CA18509" w14:textId="77777777" w:rsidR="00740E98" w:rsidRPr="008E1AA5" w:rsidRDefault="000C0A55" w:rsidP="00D22965">
            <w:pPr>
              <w:spacing w:line="276" w:lineRule="auto"/>
              <w:rPr>
                <w:b/>
              </w:rPr>
            </w:pPr>
            <w:bookmarkStart w:id="1" w:name="_heading=h.30j0zll" w:colFirst="0" w:colLast="0"/>
            <w:bookmarkEnd w:id="1"/>
            <w:r w:rsidRPr="008E1AA5">
              <w:rPr>
                <w:b/>
              </w:rPr>
              <w:t xml:space="preserve">Forward updated CV at </w:t>
            </w:r>
            <w:hyperlink r:id="rId8" w:history="1">
              <w:r w:rsidR="005002E3" w:rsidRPr="008E1AA5">
                <w:rPr>
                  <w:rStyle w:val="Hyperlink"/>
                  <w:b/>
                </w:rPr>
                <w:t>hr@ncol.coop</w:t>
              </w:r>
            </w:hyperlink>
          </w:p>
          <w:p w14:paraId="46B16F80" w14:textId="77777777" w:rsidR="008E1AA5" w:rsidRPr="008E1AA5" w:rsidRDefault="008E1AA5" w:rsidP="00D22965">
            <w:pPr>
              <w:spacing w:line="276" w:lineRule="auto"/>
              <w:rPr>
                <w:b/>
              </w:rPr>
            </w:pPr>
          </w:p>
          <w:p w14:paraId="069C7B01" w14:textId="220CED3C" w:rsidR="008E1AA5" w:rsidRPr="008E1AA5" w:rsidRDefault="008E1AA5" w:rsidP="00D22965">
            <w:pPr>
              <w:spacing w:line="276" w:lineRule="auto"/>
              <w:rPr>
                <w:b/>
              </w:rPr>
            </w:pPr>
            <w:r w:rsidRPr="008E1AA5">
              <w:rPr>
                <w:b/>
              </w:rPr>
              <w:t xml:space="preserve">Last date to apply – </w:t>
            </w:r>
            <w:r w:rsidR="004A6D43">
              <w:rPr>
                <w:b/>
              </w:rPr>
              <w:t>21</w:t>
            </w:r>
            <w:r w:rsidR="004A6D43" w:rsidRPr="004A6D43">
              <w:rPr>
                <w:b/>
                <w:vertAlign w:val="superscript"/>
              </w:rPr>
              <w:t>st</w:t>
            </w:r>
            <w:r w:rsidR="004A6D43">
              <w:rPr>
                <w:b/>
              </w:rPr>
              <w:t xml:space="preserve"> Dec’25</w:t>
            </w:r>
          </w:p>
        </w:tc>
      </w:tr>
    </w:tbl>
    <w:p w14:paraId="52F608F1" w14:textId="568341AC" w:rsidR="00740E98" w:rsidRDefault="00740E98">
      <w:pPr>
        <w:rPr>
          <w:rFonts w:ascii="Cambria" w:eastAsia="Cambria" w:hAnsi="Cambria" w:cs="Cambria"/>
        </w:rPr>
      </w:pPr>
    </w:p>
    <w:sectPr w:rsidR="00740E98">
      <w:pgSz w:w="12240" w:h="15840"/>
      <w:pgMar w:top="142"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B6F9B"/>
    <w:multiLevelType w:val="hybridMultilevel"/>
    <w:tmpl w:val="C4C2D3E6"/>
    <w:lvl w:ilvl="0" w:tplc="A668591C">
      <w:start w:val="1"/>
      <w:numFmt w:val="bullet"/>
      <w:lvlText w:val=""/>
      <w:lvlJc w:val="left"/>
      <w:pPr>
        <w:tabs>
          <w:tab w:val="num" w:pos="720"/>
        </w:tabs>
        <w:ind w:left="720" w:hanging="360"/>
      </w:pPr>
      <w:rPr>
        <w:rFonts w:ascii="Wingdings" w:hAnsi="Wingdings" w:hint="default"/>
      </w:rPr>
    </w:lvl>
    <w:lvl w:ilvl="1" w:tplc="E3AA9B64">
      <w:start w:val="1"/>
      <w:numFmt w:val="bullet"/>
      <w:lvlText w:val=""/>
      <w:lvlJc w:val="left"/>
      <w:pPr>
        <w:tabs>
          <w:tab w:val="num" w:pos="1440"/>
        </w:tabs>
        <w:ind w:left="1440" w:hanging="360"/>
      </w:pPr>
      <w:rPr>
        <w:rFonts w:ascii="Wingdings" w:hAnsi="Wingdings" w:hint="default"/>
      </w:rPr>
    </w:lvl>
    <w:lvl w:ilvl="2" w:tplc="E71A7066" w:tentative="1">
      <w:start w:val="1"/>
      <w:numFmt w:val="bullet"/>
      <w:lvlText w:val=""/>
      <w:lvlJc w:val="left"/>
      <w:pPr>
        <w:tabs>
          <w:tab w:val="num" w:pos="2160"/>
        </w:tabs>
        <w:ind w:left="2160" w:hanging="360"/>
      </w:pPr>
      <w:rPr>
        <w:rFonts w:ascii="Wingdings" w:hAnsi="Wingdings" w:hint="default"/>
      </w:rPr>
    </w:lvl>
    <w:lvl w:ilvl="3" w:tplc="5F6073AC" w:tentative="1">
      <w:start w:val="1"/>
      <w:numFmt w:val="bullet"/>
      <w:lvlText w:val=""/>
      <w:lvlJc w:val="left"/>
      <w:pPr>
        <w:tabs>
          <w:tab w:val="num" w:pos="2880"/>
        </w:tabs>
        <w:ind w:left="2880" w:hanging="360"/>
      </w:pPr>
      <w:rPr>
        <w:rFonts w:ascii="Wingdings" w:hAnsi="Wingdings" w:hint="default"/>
      </w:rPr>
    </w:lvl>
    <w:lvl w:ilvl="4" w:tplc="00BA4104" w:tentative="1">
      <w:start w:val="1"/>
      <w:numFmt w:val="bullet"/>
      <w:lvlText w:val=""/>
      <w:lvlJc w:val="left"/>
      <w:pPr>
        <w:tabs>
          <w:tab w:val="num" w:pos="3600"/>
        </w:tabs>
        <w:ind w:left="3600" w:hanging="360"/>
      </w:pPr>
      <w:rPr>
        <w:rFonts w:ascii="Wingdings" w:hAnsi="Wingdings" w:hint="default"/>
      </w:rPr>
    </w:lvl>
    <w:lvl w:ilvl="5" w:tplc="A5F89442" w:tentative="1">
      <w:start w:val="1"/>
      <w:numFmt w:val="bullet"/>
      <w:lvlText w:val=""/>
      <w:lvlJc w:val="left"/>
      <w:pPr>
        <w:tabs>
          <w:tab w:val="num" w:pos="4320"/>
        </w:tabs>
        <w:ind w:left="4320" w:hanging="360"/>
      </w:pPr>
      <w:rPr>
        <w:rFonts w:ascii="Wingdings" w:hAnsi="Wingdings" w:hint="default"/>
      </w:rPr>
    </w:lvl>
    <w:lvl w:ilvl="6" w:tplc="43684A5C" w:tentative="1">
      <w:start w:val="1"/>
      <w:numFmt w:val="bullet"/>
      <w:lvlText w:val=""/>
      <w:lvlJc w:val="left"/>
      <w:pPr>
        <w:tabs>
          <w:tab w:val="num" w:pos="5040"/>
        </w:tabs>
        <w:ind w:left="5040" w:hanging="360"/>
      </w:pPr>
      <w:rPr>
        <w:rFonts w:ascii="Wingdings" w:hAnsi="Wingdings" w:hint="default"/>
      </w:rPr>
    </w:lvl>
    <w:lvl w:ilvl="7" w:tplc="20165220" w:tentative="1">
      <w:start w:val="1"/>
      <w:numFmt w:val="bullet"/>
      <w:lvlText w:val=""/>
      <w:lvlJc w:val="left"/>
      <w:pPr>
        <w:tabs>
          <w:tab w:val="num" w:pos="5760"/>
        </w:tabs>
        <w:ind w:left="5760" w:hanging="360"/>
      </w:pPr>
      <w:rPr>
        <w:rFonts w:ascii="Wingdings" w:hAnsi="Wingdings" w:hint="default"/>
      </w:rPr>
    </w:lvl>
    <w:lvl w:ilvl="8" w:tplc="062C22B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DD76DC"/>
    <w:multiLevelType w:val="hybridMultilevel"/>
    <w:tmpl w:val="6B5633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80850567">
    <w:abstractNumId w:val="1"/>
  </w:num>
  <w:num w:numId="2" w16cid:durableId="283997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98"/>
    <w:rsid w:val="000139BE"/>
    <w:rsid w:val="000421BB"/>
    <w:rsid w:val="000579A5"/>
    <w:rsid w:val="000C0A55"/>
    <w:rsid w:val="000F5F17"/>
    <w:rsid w:val="00104178"/>
    <w:rsid w:val="0012214F"/>
    <w:rsid w:val="00153795"/>
    <w:rsid w:val="001551A0"/>
    <w:rsid w:val="00175CCE"/>
    <w:rsid w:val="00181273"/>
    <w:rsid w:val="001E0D21"/>
    <w:rsid w:val="002A5718"/>
    <w:rsid w:val="003421BD"/>
    <w:rsid w:val="0035565A"/>
    <w:rsid w:val="00417094"/>
    <w:rsid w:val="00483870"/>
    <w:rsid w:val="004A1CC3"/>
    <w:rsid w:val="004A6D43"/>
    <w:rsid w:val="005002E3"/>
    <w:rsid w:val="00560632"/>
    <w:rsid w:val="00572DC0"/>
    <w:rsid w:val="00591320"/>
    <w:rsid w:val="00616E62"/>
    <w:rsid w:val="00727F83"/>
    <w:rsid w:val="00740E98"/>
    <w:rsid w:val="007510BA"/>
    <w:rsid w:val="00756444"/>
    <w:rsid w:val="007679FA"/>
    <w:rsid w:val="00780D28"/>
    <w:rsid w:val="007842A6"/>
    <w:rsid w:val="007967C1"/>
    <w:rsid w:val="007A6651"/>
    <w:rsid w:val="007D2370"/>
    <w:rsid w:val="007F1F58"/>
    <w:rsid w:val="00893978"/>
    <w:rsid w:val="00895315"/>
    <w:rsid w:val="008B32F3"/>
    <w:rsid w:val="008E1AA5"/>
    <w:rsid w:val="008F58B7"/>
    <w:rsid w:val="00917145"/>
    <w:rsid w:val="00926B23"/>
    <w:rsid w:val="009608CF"/>
    <w:rsid w:val="009B6FA5"/>
    <w:rsid w:val="00A0156C"/>
    <w:rsid w:val="00A8070B"/>
    <w:rsid w:val="00AB0E24"/>
    <w:rsid w:val="00AD6249"/>
    <w:rsid w:val="00AF0940"/>
    <w:rsid w:val="00B7120E"/>
    <w:rsid w:val="00C33994"/>
    <w:rsid w:val="00D142BC"/>
    <w:rsid w:val="00D22965"/>
    <w:rsid w:val="00D30DCD"/>
    <w:rsid w:val="00DD145A"/>
    <w:rsid w:val="00DE6D64"/>
    <w:rsid w:val="00DF16AF"/>
    <w:rsid w:val="00E1384C"/>
    <w:rsid w:val="00E34C01"/>
    <w:rsid w:val="00E457BB"/>
    <w:rsid w:val="00E96D67"/>
    <w:rsid w:val="00F30D09"/>
    <w:rsid w:val="00F81032"/>
    <w:rsid w:val="00FD5F2D"/>
    <w:rsid w:val="00FE4B1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0B1D"/>
  <w15:docId w15:val="{20876150-FB9B-4F70-ABF4-6E802901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12093A"/>
    <w:pPr>
      <w:keepNext/>
      <w:ind w:left="108" w:right="108"/>
      <w:outlineLvl w:val="0"/>
    </w:pPr>
    <w:rPr>
      <w:rFonts w:ascii="Arial" w:eastAsia="Arial" w:hAnsi="Arial" w:cs="Arial"/>
      <w:b/>
    </w:rPr>
  </w:style>
  <w:style w:type="paragraph" w:styleId="Heading2">
    <w:name w:val="heading 2"/>
    <w:basedOn w:val="Normal1"/>
    <w:next w:val="Normal1"/>
    <w:uiPriority w:val="9"/>
    <w:semiHidden/>
    <w:unhideWhenUsed/>
    <w:qFormat/>
    <w:rsid w:val="0012093A"/>
    <w:pPr>
      <w:keepNext/>
      <w:ind w:left="108" w:right="108"/>
      <w:outlineLvl w:val="1"/>
    </w:pPr>
    <w:rPr>
      <w:rFonts w:ascii="Arial" w:eastAsia="Arial" w:hAnsi="Arial" w:cs="Arial"/>
      <w:b/>
      <w:sz w:val="20"/>
      <w:szCs w:val="20"/>
    </w:rPr>
  </w:style>
  <w:style w:type="paragraph" w:styleId="Heading3">
    <w:name w:val="heading 3"/>
    <w:basedOn w:val="Normal1"/>
    <w:next w:val="Normal1"/>
    <w:uiPriority w:val="9"/>
    <w:semiHidden/>
    <w:unhideWhenUsed/>
    <w:qFormat/>
    <w:rsid w:val="0012093A"/>
    <w:pPr>
      <w:keepNext/>
      <w:jc w:val="right"/>
      <w:outlineLvl w:val="2"/>
    </w:pPr>
    <w:rPr>
      <w:rFonts w:ascii="Arial" w:eastAsia="Arial" w:hAnsi="Arial" w:cs="Arial"/>
      <w:b/>
      <w:sz w:val="20"/>
      <w:szCs w:val="20"/>
      <w:u w:val="single"/>
    </w:rPr>
  </w:style>
  <w:style w:type="paragraph" w:styleId="Heading4">
    <w:name w:val="heading 4"/>
    <w:basedOn w:val="Normal1"/>
    <w:next w:val="Normal1"/>
    <w:uiPriority w:val="9"/>
    <w:semiHidden/>
    <w:unhideWhenUsed/>
    <w:qFormat/>
    <w:rsid w:val="0012093A"/>
    <w:pPr>
      <w:keepNext/>
      <w:outlineLvl w:val="3"/>
    </w:pPr>
    <w:rPr>
      <w:rFonts w:ascii="Arial" w:eastAsia="Arial" w:hAnsi="Arial" w:cs="Arial"/>
      <w:b/>
      <w:sz w:val="20"/>
      <w:szCs w:val="20"/>
    </w:rPr>
  </w:style>
  <w:style w:type="paragraph" w:styleId="Heading5">
    <w:name w:val="heading 5"/>
    <w:basedOn w:val="Normal1"/>
    <w:next w:val="Normal1"/>
    <w:uiPriority w:val="9"/>
    <w:semiHidden/>
    <w:unhideWhenUsed/>
    <w:qFormat/>
    <w:rsid w:val="0012093A"/>
    <w:pPr>
      <w:keepNext/>
      <w:outlineLvl w:val="4"/>
    </w:pPr>
    <w:rPr>
      <w:rFonts w:ascii="Arial" w:eastAsia="Arial" w:hAnsi="Arial" w:cs="Arial"/>
      <w:b/>
      <w:sz w:val="16"/>
      <w:szCs w:val="16"/>
    </w:rPr>
  </w:style>
  <w:style w:type="paragraph" w:styleId="Heading6">
    <w:name w:val="heading 6"/>
    <w:basedOn w:val="Normal1"/>
    <w:next w:val="Normal1"/>
    <w:uiPriority w:val="9"/>
    <w:semiHidden/>
    <w:unhideWhenUsed/>
    <w:qFormat/>
    <w:rsid w:val="0012093A"/>
    <w:pPr>
      <w:keepNext/>
      <w:spacing w:before="120"/>
      <w:jc w:val="right"/>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2093A"/>
    <w:pPr>
      <w:keepNext/>
      <w:keepLines/>
      <w:spacing w:before="480" w:after="120"/>
    </w:pPr>
    <w:rPr>
      <w:b/>
      <w:sz w:val="72"/>
      <w:szCs w:val="72"/>
    </w:rPr>
  </w:style>
  <w:style w:type="paragraph" w:customStyle="1" w:styleId="Normal1">
    <w:name w:val="Normal1"/>
    <w:rsid w:val="0012093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2093A"/>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114DE"/>
    <w:rPr>
      <w:color w:val="0000FF" w:themeColor="hyperlink"/>
      <w:u w:val="single"/>
    </w:rPr>
  </w:style>
  <w:style w:type="paragraph" w:styleId="BodyText">
    <w:name w:val="Body Text"/>
    <w:basedOn w:val="Normal"/>
    <w:link w:val="BodyTextChar"/>
    <w:rsid w:val="00AA6268"/>
    <w:pPr>
      <w:jc w:val="both"/>
    </w:pPr>
    <w:rPr>
      <w:rFonts w:ascii="Arial" w:hAnsi="Arial" w:cs="Arial"/>
      <w:lang w:val="en-US" w:eastAsia="en-US"/>
    </w:rPr>
  </w:style>
  <w:style w:type="character" w:customStyle="1" w:styleId="BodyTextChar">
    <w:name w:val="Body Text Char"/>
    <w:basedOn w:val="DefaultParagraphFont"/>
    <w:link w:val="BodyText"/>
    <w:rsid w:val="00AA6268"/>
    <w:rPr>
      <w:rFonts w:ascii="Arial" w:hAnsi="Arial" w:cs="Arial"/>
      <w:lang w:val="en-US" w:eastAsia="en-US"/>
    </w:rPr>
  </w:style>
  <w:style w:type="paragraph" w:styleId="BalloonText">
    <w:name w:val="Balloon Text"/>
    <w:basedOn w:val="Normal"/>
    <w:link w:val="BalloonTextChar"/>
    <w:uiPriority w:val="99"/>
    <w:semiHidden/>
    <w:unhideWhenUsed/>
    <w:rsid w:val="00694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F7"/>
    <w:rPr>
      <w:rFonts w:ascii="Segoe UI" w:hAnsi="Segoe UI" w:cs="Segoe UI"/>
      <w:sz w:val="18"/>
      <w:szCs w:val="18"/>
    </w:rPr>
  </w:style>
  <w:style w:type="paragraph" w:styleId="NormalWeb">
    <w:name w:val="Normal (Web)"/>
    <w:basedOn w:val="Normal"/>
    <w:uiPriority w:val="99"/>
    <w:unhideWhenUsed/>
    <w:rsid w:val="001C62DB"/>
    <w:pPr>
      <w:spacing w:before="100" w:beforeAutospacing="1" w:after="100" w:afterAutospacing="1"/>
    </w:pPr>
    <w:rPr>
      <w:lang w:val="en-IN" w:bidi="gu-IN"/>
    </w:rPr>
  </w:style>
  <w:style w:type="table" w:customStyle="1" w:styleId="a0">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175CCE"/>
    <w:rPr>
      <w:color w:val="605E5C"/>
      <w:shd w:val="clear" w:color="auto" w:fill="E1DFDD"/>
    </w:rPr>
  </w:style>
  <w:style w:type="paragraph" w:styleId="ListParagraph">
    <w:name w:val="List Paragraph"/>
    <w:basedOn w:val="Normal"/>
    <w:uiPriority w:val="34"/>
    <w:qFormat/>
    <w:rsid w:val="00727F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r@ncol.coop" TargetMode="External"/><Relationship Id="rId3" Type="http://schemas.openxmlformats.org/officeDocument/2006/relationships/styles" Target="styles.xml"/><Relationship Id="rId7" Type="http://schemas.openxmlformats.org/officeDocument/2006/relationships/hyperlink" Target="https://bharatorganics.coo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col.coo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5JIefQVHNWwtrp0nmsfFbZsTA==">CgMxLjAyCGguZ2pkZ3hzMgloLjMwajB6bGw4AHIhMTBtMnVtNUpTM0VzT19WVVBGVW1JNWphcWg5emlpeGdf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rajan</dc:creator>
  <cp:lastModifiedBy>Shruti Patidar</cp:lastModifiedBy>
  <cp:revision>7</cp:revision>
  <cp:lastPrinted>2025-05-22T06:19:00Z</cp:lastPrinted>
  <dcterms:created xsi:type="dcterms:W3CDTF">2025-12-12T09:07:00Z</dcterms:created>
  <dcterms:modified xsi:type="dcterms:W3CDTF">2025-12-12T09:35:00Z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dc7e10-6021-46f1-be96-1053334954e8_Enabled">
    <vt:lpwstr>true</vt:lpwstr>
  </property>
  <property fmtid="{D5CDD505-2E9C-101B-9397-08002B2CF9AE}" pid="3" name="MSIP_Label_9edc7e10-6021-46f1-be96-1053334954e8_SetDate">
    <vt:lpwstr>2024-04-23T15:22:06Z</vt:lpwstr>
  </property>
  <property fmtid="{D5CDD505-2E9C-101B-9397-08002B2CF9AE}" pid="4" name="MSIP_Label_9edc7e10-6021-46f1-be96-1053334954e8_Method">
    <vt:lpwstr>Privileged</vt:lpwstr>
  </property>
  <property fmtid="{D5CDD505-2E9C-101B-9397-08002B2CF9AE}" pid="5" name="MSIP_Label_9edc7e10-6021-46f1-be96-1053334954e8_Name">
    <vt:lpwstr>9edc7e10-6021-46f1-be96-1053334954e8</vt:lpwstr>
  </property>
  <property fmtid="{D5CDD505-2E9C-101B-9397-08002B2CF9AE}" pid="6" name="MSIP_Label_9edc7e10-6021-46f1-be96-1053334954e8_SiteId">
    <vt:lpwstr>2ba76450-63eb-4c43-88c0-c106129de5ed</vt:lpwstr>
  </property>
  <property fmtid="{D5CDD505-2E9C-101B-9397-08002B2CF9AE}" pid="7" name="MSIP_Label_9edc7e10-6021-46f1-be96-1053334954e8_ActionId">
    <vt:lpwstr>3bc4a16b-d18a-41e8-ae53-630ed38cdf22</vt:lpwstr>
  </property>
  <property fmtid="{D5CDD505-2E9C-101B-9397-08002B2CF9AE}" pid="8" name="MSIP_Label_9edc7e10-6021-46f1-be96-1053334954e8_ContentBits">
    <vt:lpwstr>0</vt:lpwstr>
  </property>
</Properties>
</file>